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AE" w:rsidRDefault="00553BAE" w:rsidP="00553BAE">
      <w:pPr>
        <w:pStyle w:val="ConsNonformat"/>
        <w:widowControl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Приложение 1</w:t>
      </w:r>
    </w:p>
    <w:p w:rsidR="00553BAE" w:rsidRPr="00404AF2" w:rsidRDefault="00553BAE" w:rsidP="00404AF2">
      <w:pPr>
        <w:pStyle w:val="ConsNonformat"/>
        <w:widowControl/>
        <w:rPr>
          <w:rFonts w:ascii="Times New Roman" w:hAnsi="Times New Roman" w:cs="Times New Roman"/>
          <w:sz w:val="22"/>
          <w:szCs w:val="22"/>
          <w:lang w:val="en-US"/>
        </w:rPr>
      </w:pPr>
    </w:p>
    <w:p w:rsidR="00553BAE" w:rsidRDefault="00553BAE" w:rsidP="00553BAE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</w:rPr>
        <w:t>Требования к оформлению денежного чека</w:t>
      </w:r>
    </w:p>
    <w:p w:rsidR="00404AF2" w:rsidRPr="00404AF2" w:rsidRDefault="00404AF2" w:rsidP="00404AF2">
      <w:pPr>
        <w:pStyle w:val="ConsNonformat"/>
        <w:widowControl/>
        <w:rPr>
          <w:rFonts w:ascii="Times New Roman" w:hAnsi="Times New Roman" w:cs="Times New Roman"/>
          <w:sz w:val="22"/>
          <w:szCs w:val="22"/>
          <w:lang w:val="en-US"/>
        </w:rPr>
      </w:pP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Денежный чек заполняется ручкой с пастой синего, фиолетового или черного цвета.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Исправления, подчистки и помарки не допускаются.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Оттиск печати должен быть проставлен в отведенном месте, не затрагивая других граф денежного чека. Оттиск печати должен быть четким и ясным и соответствовать оттиску, проставленному в образцах подписей, предъявленному в Банк.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графах «Заплатите Кому» и «Сумма» следует писать от начала строки и до конца. Оставшиеся свободные места прочеркиваются двойной чертой, по линейке, до конца строки. Прочеркивать в середине текста запрещается.  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графе «Заплатите Кому» указывается полностью фамилия, имя и отчество в родительном падеже.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графе «Сумма»</w:t>
      </w:r>
      <w:r w:rsidRPr="005D742A">
        <w:rPr>
          <w:rFonts w:ascii="Times New Roman" w:hAnsi="Times New Roman" w:cs="Times New Roman"/>
          <w:sz w:val="22"/>
          <w:szCs w:val="22"/>
        </w:rPr>
        <w:t xml:space="preserve"> цифрами указывается общая сумма чека к выдаче. </w:t>
      </w:r>
      <w:r>
        <w:rPr>
          <w:rFonts w:ascii="Times New Roman" w:hAnsi="Times New Roman" w:cs="Times New Roman"/>
          <w:sz w:val="22"/>
          <w:szCs w:val="22"/>
        </w:rPr>
        <w:t>Сумма пишется от самого начала строки, без оставления свободного места, все оставшиеся свободные места прочеркиваются двойной чертой. Сумма может указываться без копеек, если в разбивке чека копеек нет. В таком случае указывается только полная сумма рублей, а место для написания копеек прочеркивается двойной чертой.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графе «Сумма» прописью указывается общая сумма чека. Сумму следует писать в именительном падеже, с большой буквы, от самого начала строки, после указания суммы следует писать слово: «рубль, рубля, рублей». Если сумма чека указывается без копеек, то все оставшиеся свободные места прочеркиваются двойной чертой. Если сумма чека указывается   с копейками, то копейки пишутся цифрами, а после пишется слово «копейка, копеек». Все оставшиеся свободные места прочеркиваются.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обороте чека в таблице «Цели расхода» в графе «сумма» указывается сумма цифрами. Сумма пишется от  самого начала строки, без оставления свободного места. Оставшиеся после суммы свободные места прочеркиваются двойной чертой. Если суммы указываются с копейками, то копейки указываются сразу после рублей через одинарную черту. Оставшиеся свободные места в таком случае не прочеркиваются.</w:t>
      </w:r>
    </w:p>
    <w:p w:rsidR="00553BAE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Подписывают денежный чек лица, указанные в карточке</w:t>
      </w:r>
      <w:r w:rsidR="008878FB">
        <w:rPr>
          <w:rFonts w:ascii="Times New Roman" w:hAnsi="Times New Roman" w:cs="Times New Roman"/>
          <w:sz w:val="22"/>
          <w:szCs w:val="22"/>
        </w:rPr>
        <w:t xml:space="preserve"> с </w:t>
      </w:r>
      <w:r>
        <w:rPr>
          <w:rFonts w:ascii="Times New Roman" w:hAnsi="Times New Roman" w:cs="Times New Roman"/>
          <w:sz w:val="22"/>
          <w:szCs w:val="22"/>
        </w:rPr>
        <w:t>образц</w:t>
      </w:r>
      <w:r w:rsidR="008878FB">
        <w:rPr>
          <w:rFonts w:ascii="Times New Roman" w:hAnsi="Times New Roman" w:cs="Times New Roman"/>
          <w:sz w:val="22"/>
          <w:szCs w:val="22"/>
        </w:rPr>
        <w:t>ами</w:t>
      </w:r>
      <w:r>
        <w:rPr>
          <w:rFonts w:ascii="Times New Roman" w:hAnsi="Times New Roman" w:cs="Times New Roman"/>
          <w:sz w:val="22"/>
          <w:szCs w:val="22"/>
        </w:rPr>
        <w:t xml:space="preserve"> подписей. Подп</w:t>
      </w:r>
      <w:r w:rsidR="008878FB">
        <w:rPr>
          <w:rFonts w:ascii="Times New Roman" w:hAnsi="Times New Roman" w:cs="Times New Roman"/>
          <w:sz w:val="22"/>
          <w:szCs w:val="22"/>
        </w:rPr>
        <w:t>иси должны быть идентичны на лице</w:t>
      </w:r>
      <w:r>
        <w:rPr>
          <w:rFonts w:ascii="Times New Roman" w:hAnsi="Times New Roman" w:cs="Times New Roman"/>
          <w:sz w:val="22"/>
          <w:szCs w:val="22"/>
        </w:rPr>
        <w:t>вой и оборотной стороне чека.</w:t>
      </w:r>
    </w:p>
    <w:p w:rsidR="00553BAE" w:rsidRPr="006F7467" w:rsidRDefault="00553BAE" w:rsidP="00553BAE">
      <w:pPr>
        <w:pStyle w:val="Con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графе «Отметки, удостоверяющие личность получателя» указываются</w:t>
      </w:r>
      <w:r w:rsidR="008878FB">
        <w:rPr>
          <w:rFonts w:ascii="Times New Roman" w:hAnsi="Times New Roman" w:cs="Times New Roman"/>
          <w:sz w:val="22"/>
          <w:szCs w:val="22"/>
        </w:rPr>
        <w:t xml:space="preserve"> наименование и </w:t>
      </w:r>
      <w:r>
        <w:rPr>
          <w:rFonts w:ascii="Times New Roman" w:hAnsi="Times New Roman" w:cs="Times New Roman"/>
          <w:sz w:val="22"/>
          <w:szCs w:val="22"/>
        </w:rPr>
        <w:t xml:space="preserve"> данные предъявленного удостоверения личности: Общегражданский паспорт, заграничный паспорт, военный билет (для военнослужащих) паспорт иностранного гражданина. Данные документа записываются полностью. Допускается написание данных документа в две строки (при недостаточности места в графах).</w:t>
      </w:r>
    </w:p>
    <w:sectPr w:rsidR="00553BAE" w:rsidRPr="006F7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E717A"/>
    <w:multiLevelType w:val="hybridMultilevel"/>
    <w:tmpl w:val="4C8AB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AE"/>
    <w:rsid w:val="00404AF2"/>
    <w:rsid w:val="00553BAE"/>
    <w:rsid w:val="005F339A"/>
    <w:rsid w:val="008878FB"/>
    <w:rsid w:val="00AA59DB"/>
    <w:rsid w:val="00D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6C46D-F059-4B14-9B06-0F9ADCAB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53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Zebrova Ekaterina</dc:creator>
  <cp:lastModifiedBy>Knyazev Sergey</cp:lastModifiedBy>
  <cp:revision>2</cp:revision>
  <dcterms:created xsi:type="dcterms:W3CDTF">2017-12-18T10:25:00Z</dcterms:created>
  <dcterms:modified xsi:type="dcterms:W3CDTF">2017-12-18T10:25:00Z</dcterms:modified>
</cp:coreProperties>
</file>